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5C59" w14:textId="57A426C3" w:rsidR="00472BB3" w:rsidRPr="00CF5430" w:rsidRDefault="00BA2ED9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C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9F1">
        <w:rPr>
          <w:rFonts w:ascii="Times New Roman" w:hAnsi="Times New Roman" w:cs="Times New Roman"/>
          <w:b/>
          <w:sz w:val="28"/>
          <w:szCs w:val="28"/>
        </w:rPr>
        <w:t>7</w:t>
      </w:r>
      <w:r w:rsidR="007C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430">
        <w:rPr>
          <w:rFonts w:ascii="Times New Roman" w:hAnsi="Times New Roman" w:cs="Times New Roman"/>
          <w:b/>
          <w:sz w:val="28"/>
          <w:szCs w:val="28"/>
        </w:rPr>
        <w:t>/</w:t>
      </w:r>
      <w:r w:rsidR="007E69CC">
        <w:rPr>
          <w:rFonts w:ascii="Times New Roman" w:hAnsi="Times New Roman" w:cs="Times New Roman"/>
          <w:b/>
          <w:sz w:val="28"/>
          <w:szCs w:val="28"/>
        </w:rPr>
        <w:t>23</w:t>
      </w:r>
    </w:p>
    <w:p w14:paraId="1314A730" w14:textId="77777777" w:rsidR="00BA2ED9" w:rsidRPr="00CF5430" w:rsidRDefault="00BA2ED9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Wójta Gminy Gorzyce</w:t>
      </w:r>
    </w:p>
    <w:p w14:paraId="1A5EA2CC" w14:textId="0290E600" w:rsidR="00BA2ED9" w:rsidRPr="00CF5430" w:rsidRDefault="00CF5430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z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B42B90">
        <w:rPr>
          <w:rFonts w:ascii="Times New Roman" w:hAnsi="Times New Roman" w:cs="Times New Roman"/>
          <w:b/>
          <w:sz w:val="28"/>
          <w:szCs w:val="28"/>
        </w:rPr>
        <w:t>0</w:t>
      </w:r>
      <w:r w:rsidR="007E69CC">
        <w:rPr>
          <w:rFonts w:ascii="Times New Roman" w:hAnsi="Times New Roman" w:cs="Times New Roman"/>
          <w:b/>
          <w:sz w:val="28"/>
          <w:szCs w:val="28"/>
        </w:rPr>
        <w:t>2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B42B90">
        <w:rPr>
          <w:rFonts w:ascii="Times New Roman" w:hAnsi="Times New Roman" w:cs="Times New Roman"/>
          <w:b/>
          <w:sz w:val="28"/>
          <w:szCs w:val="28"/>
        </w:rPr>
        <w:t>202</w:t>
      </w:r>
      <w:r w:rsidR="009947EB">
        <w:rPr>
          <w:rFonts w:ascii="Times New Roman" w:hAnsi="Times New Roman" w:cs="Times New Roman"/>
          <w:b/>
          <w:sz w:val="28"/>
          <w:szCs w:val="28"/>
        </w:rPr>
        <w:t>3</w:t>
      </w:r>
    </w:p>
    <w:p w14:paraId="3B983517" w14:textId="77777777" w:rsidR="00BA2ED9" w:rsidRPr="00CF5430" w:rsidRDefault="00BA2ED9">
      <w:pPr>
        <w:rPr>
          <w:rFonts w:ascii="Times New Roman" w:hAnsi="Times New Roman" w:cs="Times New Roman"/>
          <w:b/>
          <w:sz w:val="28"/>
          <w:szCs w:val="28"/>
        </w:rPr>
      </w:pPr>
    </w:p>
    <w:p w14:paraId="59398A0C" w14:textId="77777777" w:rsidR="00BA2ED9" w:rsidRPr="00CF5430" w:rsidRDefault="00BA2ED9">
      <w:pPr>
        <w:rPr>
          <w:rFonts w:ascii="Times New Roman" w:hAnsi="Times New Roman" w:cs="Times New Roman"/>
          <w:b/>
          <w:sz w:val="28"/>
          <w:szCs w:val="28"/>
        </w:rPr>
      </w:pPr>
    </w:p>
    <w:p w14:paraId="0F71CE45" w14:textId="2367C8C9" w:rsidR="00BA2ED9" w:rsidRPr="00CF5430" w:rsidRDefault="00CF5430">
      <w:pPr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w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sprawie opracowania planu finansowego zadań z zakresu administracji rządowej oraz innych zadań zleconych odrębnymi ustawami na rok 20</w:t>
      </w:r>
      <w:r w:rsidR="00B42B90">
        <w:rPr>
          <w:rFonts w:ascii="Times New Roman" w:hAnsi="Times New Roman" w:cs="Times New Roman"/>
          <w:b/>
          <w:sz w:val="28"/>
          <w:szCs w:val="28"/>
        </w:rPr>
        <w:t>2</w:t>
      </w:r>
      <w:r w:rsidR="007E69CC">
        <w:rPr>
          <w:rFonts w:ascii="Times New Roman" w:hAnsi="Times New Roman" w:cs="Times New Roman"/>
          <w:b/>
          <w:sz w:val="28"/>
          <w:szCs w:val="28"/>
        </w:rPr>
        <w:t>3</w:t>
      </w:r>
    </w:p>
    <w:p w14:paraId="1C02F3BA" w14:textId="77777777" w:rsidR="00BA2ED9" w:rsidRPr="00CF5430" w:rsidRDefault="00BA2ED9">
      <w:pPr>
        <w:rPr>
          <w:rFonts w:ascii="Times New Roman" w:hAnsi="Times New Roman" w:cs="Times New Roman"/>
          <w:sz w:val="28"/>
          <w:szCs w:val="28"/>
        </w:rPr>
      </w:pPr>
    </w:p>
    <w:p w14:paraId="384CE510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p w14:paraId="04896A3A" w14:textId="0C30C71C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Na podstawie art. 249 ust. 1 pkt 2 ustawy z dnia 27 sierpnia  2009 r. o finansach publicznych (tekst jednolity: Dz.U. z 20</w:t>
      </w:r>
      <w:r w:rsidR="000C69F1">
        <w:rPr>
          <w:rFonts w:ascii="Times New Roman" w:hAnsi="Times New Roman" w:cs="Times New Roman"/>
          <w:sz w:val="24"/>
          <w:szCs w:val="24"/>
        </w:rPr>
        <w:t>2</w:t>
      </w:r>
      <w:r w:rsidR="007E69CC">
        <w:rPr>
          <w:rFonts w:ascii="Times New Roman" w:hAnsi="Times New Roman" w:cs="Times New Roman"/>
          <w:sz w:val="24"/>
          <w:szCs w:val="24"/>
        </w:rPr>
        <w:t>2</w:t>
      </w:r>
      <w:r w:rsidRPr="00CF5430">
        <w:rPr>
          <w:rFonts w:ascii="Times New Roman" w:hAnsi="Times New Roman" w:cs="Times New Roman"/>
          <w:sz w:val="24"/>
          <w:szCs w:val="24"/>
        </w:rPr>
        <w:t xml:space="preserve">r., poz. </w:t>
      </w:r>
      <w:r w:rsidR="007E69CC">
        <w:rPr>
          <w:rFonts w:ascii="Times New Roman" w:hAnsi="Times New Roman" w:cs="Times New Roman"/>
          <w:sz w:val="24"/>
          <w:szCs w:val="24"/>
        </w:rPr>
        <w:t>1634</w:t>
      </w:r>
      <w:r w:rsidRPr="00CF54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F54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5430">
        <w:rPr>
          <w:rFonts w:ascii="Times New Roman" w:hAnsi="Times New Roman" w:cs="Times New Roman"/>
          <w:sz w:val="24"/>
          <w:szCs w:val="24"/>
        </w:rPr>
        <w:t>. zm.), art. 30 ust. 2 pkt 4 ustawy z dnia</w:t>
      </w:r>
      <w:r w:rsidR="00EB28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5430">
        <w:rPr>
          <w:rFonts w:ascii="Times New Roman" w:hAnsi="Times New Roman" w:cs="Times New Roman"/>
          <w:sz w:val="24"/>
          <w:szCs w:val="24"/>
        </w:rPr>
        <w:t xml:space="preserve"> 8 marca 1990 r. o samorządzie gminnym  ( tekst jednolity: Dz. U. z 20</w:t>
      </w:r>
      <w:r w:rsidR="00EF3611">
        <w:rPr>
          <w:rFonts w:ascii="Times New Roman" w:hAnsi="Times New Roman" w:cs="Times New Roman"/>
          <w:sz w:val="24"/>
          <w:szCs w:val="24"/>
        </w:rPr>
        <w:t>2</w:t>
      </w:r>
      <w:r w:rsidR="007E69CC">
        <w:rPr>
          <w:rFonts w:ascii="Times New Roman" w:hAnsi="Times New Roman" w:cs="Times New Roman"/>
          <w:sz w:val="24"/>
          <w:szCs w:val="24"/>
        </w:rPr>
        <w:t>2</w:t>
      </w:r>
      <w:r w:rsidRPr="00CF5430">
        <w:rPr>
          <w:rFonts w:ascii="Times New Roman" w:hAnsi="Times New Roman" w:cs="Times New Roman"/>
          <w:sz w:val="24"/>
          <w:szCs w:val="24"/>
        </w:rPr>
        <w:t>r. , poz.</w:t>
      </w:r>
      <w:r w:rsidR="007E69CC">
        <w:rPr>
          <w:rFonts w:ascii="Times New Roman" w:hAnsi="Times New Roman" w:cs="Times New Roman"/>
          <w:sz w:val="24"/>
          <w:szCs w:val="24"/>
        </w:rPr>
        <w:t xml:space="preserve"> 559</w:t>
      </w:r>
      <w:r w:rsidR="007C54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5474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7C5474">
        <w:rPr>
          <w:rFonts w:ascii="Times New Roman" w:hAnsi="Times New Roman" w:cs="Times New Roman"/>
          <w:sz w:val="24"/>
          <w:szCs w:val="24"/>
        </w:rPr>
        <w:t xml:space="preserve">. </w:t>
      </w:r>
      <w:r w:rsidR="00EF3611">
        <w:rPr>
          <w:rFonts w:ascii="Times New Roman" w:hAnsi="Times New Roman" w:cs="Times New Roman"/>
          <w:sz w:val="24"/>
          <w:szCs w:val="24"/>
        </w:rPr>
        <w:t>z</w:t>
      </w:r>
      <w:r w:rsidR="007C5474">
        <w:rPr>
          <w:rFonts w:ascii="Times New Roman" w:hAnsi="Times New Roman" w:cs="Times New Roman"/>
          <w:sz w:val="24"/>
          <w:szCs w:val="24"/>
        </w:rPr>
        <w:t>m.</w:t>
      </w:r>
      <w:r w:rsidRPr="00CF5430">
        <w:rPr>
          <w:rFonts w:ascii="Times New Roman" w:hAnsi="Times New Roman" w:cs="Times New Roman"/>
          <w:sz w:val="24"/>
          <w:szCs w:val="24"/>
        </w:rPr>
        <w:t xml:space="preserve"> ),</w:t>
      </w:r>
      <w:r w:rsidR="0095044C">
        <w:rPr>
          <w:rFonts w:ascii="Times New Roman" w:hAnsi="Times New Roman" w:cs="Times New Roman"/>
          <w:sz w:val="24"/>
          <w:szCs w:val="24"/>
        </w:rPr>
        <w:t xml:space="preserve"> oraz 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7E69CC">
        <w:rPr>
          <w:rFonts w:ascii="Times New Roman" w:hAnsi="Times New Roman" w:cs="Times New Roman"/>
          <w:sz w:val="24"/>
          <w:szCs w:val="24"/>
        </w:rPr>
        <w:t>LVII/381/22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z dnia </w:t>
      </w:r>
      <w:r w:rsidR="000C69F1">
        <w:rPr>
          <w:rFonts w:ascii="Times New Roman" w:hAnsi="Times New Roman" w:cs="Times New Roman"/>
          <w:sz w:val="24"/>
          <w:szCs w:val="24"/>
        </w:rPr>
        <w:t>29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</w:t>
      </w:r>
      <w:r w:rsidR="00B42B90">
        <w:rPr>
          <w:rFonts w:ascii="Times New Roman" w:hAnsi="Times New Roman" w:cs="Times New Roman"/>
          <w:sz w:val="24"/>
          <w:szCs w:val="24"/>
        </w:rPr>
        <w:t>grudnia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20</w:t>
      </w:r>
      <w:r w:rsidR="00B42B90">
        <w:rPr>
          <w:rFonts w:ascii="Times New Roman" w:hAnsi="Times New Roman" w:cs="Times New Roman"/>
          <w:sz w:val="24"/>
          <w:szCs w:val="24"/>
        </w:rPr>
        <w:t>2</w:t>
      </w:r>
      <w:r w:rsidR="007E69CC">
        <w:rPr>
          <w:rFonts w:ascii="Times New Roman" w:hAnsi="Times New Roman" w:cs="Times New Roman"/>
          <w:sz w:val="24"/>
          <w:szCs w:val="24"/>
        </w:rPr>
        <w:t>2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r  </w:t>
      </w:r>
      <w:r w:rsidR="0095044C">
        <w:rPr>
          <w:rFonts w:ascii="Times New Roman" w:hAnsi="Times New Roman" w:cs="Times New Roman"/>
          <w:sz w:val="24"/>
          <w:szCs w:val="24"/>
        </w:rPr>
        <w:t xml:space="preserve">w sprawie uchwały budżetowej na rok </w:t>
      </w:r>
      <w:r w:rsidR="00B42B90">
        <w:rPr>
          <w:rFonts w:ascii="Times New Roman" w:hAnsi="Times New Roman" w:cs="Times New Roman"/>
          <w:sz w:val="24"/>
          <w:szCs w:val="24"/>
        </w:rPr>
        <w:t>202</w:t>
      </w:r>
      <w:r w:rsidR="007E69CC">
        <w:rPr>
          <w:rFonts w:ascii="Times New Roman" w:hAnsi="Times New Roman" w:cs="Times New Roman"/>
          <w:sz w:val="24"/>
          <w:szCs w:val="24"/>
        </w:rPr>
        <w:t>3</w:t>
      </w:r>
      <w:r w:rsidR="000C69F1">
        <w:rPr>
          <w:rFonts w:ascii="Times New Roman" w:hAnsi="Times New Roman" w:cs="Times New Roman"/>
          <w:sz w:val="24"/>
          <w:szCs w:val="24"/>
        </w:rPr>
        <w:t xml:space="preserve"> </w:t>
      </w:r>
      <w:r w:rsidRPr="00CF5430">
        <w:rPr>
          <w:rFonts w:ascii="Times New Roman" w:hAnsi="Times New Roman" w:cs="Times New Roman"/>
          <w:sz w:val="24"/>
          <w:szCs w:val="24"/>
        </w:rPr>
        <w:t>Wójt Gminy  zarządza co następuje:</w:t>
      </w:r>
    </w:p>
    <w:p w14:paraId="26BCEBA5" w14:textId="77777777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8D1BD" w14:textId="77777777" w:rsidR="00BA2ED9" w:rsidRDefault="00BA2ED9" w:rsidP="00EB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§1</w:t>
      </w:r>
    </w:p>
    <w:p w14:paraId="3F830D5C" w14:textId="77777777" w:rsidR="00CF5430" w:rsidRPr="00CF5430" w:rsidRDefault="00CF5430" w:rsidP="00EB2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46A20" w14:textId="2FBFAF4D" w:rsidR="00BA2ED9" w:rsidRPr="00CF5430" w:rsidRDefault="00BA2ED9" w:rsidP="00EB2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 xml:space="preserve">Ustala się plan finansowy </w:t>
      </w:r>
      <w:r w:rsidR="00CF5430" w:rsidRPr="00CF5430">
        <w:rPr>
          <w:rFonts w:ascii="Times New Roman" w:hAnsi="Times New Roman" w:cs="Times New Roman"/>
          <w:sz w:val="24"/>
          <w:szCs w:val="24"/>
        </w:rPr>
        <w:t>zadań</w:t>
      </w:r>
      <w:r w:rsidRPr="00CF5430">
        <w:rPr>
          <w:rFonts w:ascii="Times New Roman" w:hAnsi="Times New Roman" w:cs="Times New Roman"/>
          <w:sz w:val="24"/>
          <w:szCs w:val="24"/>
        </w:rPr>
        <w:t xml:space="preserve"> z zakresu administracji </w:t>
      </w:r>
      <w:r w:rsidR="00CF5430" w:rsidRPr="00CF5430">
        <w:rPr>
          <w:rFonts w:ascii="Times New Roman" w:hAnsi="Times New Roman" w:cs="Times New Roman"/>
          <w:sz w:val="24"/>
          <w:szCs w:val="24"/>
        </w:rPr>
        <w:t>rządowej</w:t>
      </w:r>
      <w:r w:rsidRPr="00CF5430">
        <w:rPr>
          <w:rFonts w:ascii="Times New Roman" w:hAnsi="Times New Roman" w:cs="Times New Roman"/>
          <w:sz w:val="24"/>
          <w:szCs w:val="24"/>
        </w:rPr>
        <w:t xml:space="preserve"> oraz innych zadań zleconych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gminie </w:t>
      </w:r>
      <w:r w:rsidRPr="00CF5430">
        <w:rPr>
          <w:rFonts w:ascii="Times New Roman" w:hAnsi="Times New Roman" w:cs="Times New Roman"/>
          <w:sz w:val="24"/>
          <w:szCs w:val="24"/>
        </w:rPr>
        <w:t xml:space="preserve">odrębnymi ustawami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oraz uchwaloną przez Radę Gminy Gorzyce Uchwałą Nr </w:t>
      </w:r>
      <w:r w:rsidR="007E69CC">
        <w:rPr>
          <w:rFonts w:ascii="Times New Roman" w:hAnsi="Times New Roman" w:cs="Times New Roman"/>
          <w:sz w:val="24"/>
          <w:szCs w:val="24"/>
        </w:rPr>
        <w:t>LVII/381/22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z dnia </w:t>
      </w:r>
      <w:r w:rsidR="000C69F1">
        <w:rPr>
          <w:rFonts w:ascii="Times New Roman" w:hAnsi="Times New Roman" w:cs="Times New Roman"/>
          <w:sz w:val="24"/>
          <w:szCs w:val="24"/>
        </w:rPr>
        <w:t>29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</w:t>
      </w:r>
      <w:r w:rsidR="00B42B90">
        <w:rPr>
          <w:rFonts w:ascii="Times New Roman" w:hAnsi="Times New Roman" w:cs="Times New Roman"/>
          <w:sz w:val="24"/>
          <w:szCs w:val="24"/>
        </w:rPr>
        <w:t>grudnia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20</w:t>
      </w:r>
      <w:r w:rsidR="00EF3611">
        <w:rPr>
          <w:rFonts w:ascii="Times New Roman" w:hAnsi="Times New Roman" w:cs="Times New Roman"/>
          <w:sz w:val="24"/>
          <w:szCs w:val="24"/>
        </w:rPr>
        <w:t>2</w:t>
      </w:r>
      <w:r w:rsidR="007E69CC">
        <w:rPr>
          <w:rFonts w:ascii="Times New Roman" w:hAnsi="Times New Roman" w:cs="Times New Roman"/>
          <w:sz w:val="24"/>
          <w:szCs w:val="24"/>
        </w:rPr>
        <w:t>2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r  w podziale na działy, rozdziały</w:t>
      </w:r>
      <w:r w:rsidR="00EB28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i paragrafy klasyfikacji dochodów i wydatków zgodnie z załącznikiem N</w:t>
      </w:r>
      <w:r w:rsidR="00CF5430">
        <w:rPr>
          <w:rFonts w:ascii="Times New Roman" w:hAnsi="Times New Roman" w:cs="Times New Roman"/>
          <w:sz w:val="24"/>
          <w:szCs w:val="24"/>
        </w:rPr>
        <w:t>r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1 do niniejszego zarządzenia.</w:t>
      </w:r>
    </w:p>
    <w:p w14:paraId="3B881016" w14:textId="2A17390B" w:rsidR="00CF5430" w:rsidRDefault="00CF5430" w:rsidP="00EB2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Ustala się plan finansowy dochodów związanych z realizacją zadań wymienionych</w:t>
      </w:r>
      <w:r w:rsidR="00EF36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430">
        <w:rPr>
          <w:rFonts w:ascii="Times New Roman" w:hAnsi="Times New Roman" w:cs="Times New Roman"/>
          <w:sz w:val="24"/>
          <w:szCs w:val="24"/>
        </w:rPr>
        <w:t xml:space="preserve"> w punkcie 1, które podlegają przekazaniu do budżetu państwa zgodnie z załącznikiem Nr </w:t>
      </w:r>
      <w:r w:rsidR="004C3965">
        <w:rPr>
          <w:rFonts w:ascii="Times New Roman" w:hAnsi="Times New Roman" w:cs="Times New Roman"/>
          <w:sz w:val="24"/>
          <w:szCs w:val="24"/>
        </w:rPr>
        <w:t>2</w:t>
      </w:r>
      <w:r w:rsidRPr="00CF5430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6DDDFA40" w14:textId="77777777" w:rsidR="00CF5430" w:rsidRPr="00CF5430" w:rsidRDefault="00CF5430" w:rsidP="00EB28C9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77D6566B" w14:textId="77777777" w:rsidR="00CF5430" w:rsidRDefault="00CF5430" w:rsidP="00EB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§2</w:t>
      </w:r>
    </w:p>
    <w:p w14:paraId="74BE39BC" w14:textId="77777777" w:rsidR="00CF5430" w:rsidRPr="00CF5430" w:rsidRDefault="00CF5430" w:rsidP="00CF54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9CCAB" w14:textId="08D0F09F" w:rsidR="00CF5430" w:rsidRDefault="00CF5430" w:rsidP="00CF5430">
      <w:pPr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 xml:space="preserve">Zarządzenie  wchodzi w życie z dniem </w:t>
      </w:r>
      <w:r w:rsidR="0095044C">
        <w:rPr>
          <w:rFonts w:ascii="Times New Roman" w:hAnsi="Times New Roman" w:cs="Times New Roman"/>
          <w:sz w:val="24"/>
          <w:szCs w:val="24"/>
        </w:rPr>
        <w:t>podjęcia z mocą obowiązującą od 1 stycznia 20</w:t>
      </w:r>
      <w:r w:rsidR="00B42B90">
        <w:rPr>
          <w:rFonts w:ascii="Times New Roman" w:hAnsi="Times New Roman" w:cs="Times New Roman"/>
          <w:sz w:val="24"/>
          <w:szCs w:val="24"/>
        </w:rPr>
        <w:t>2</w:t>
      </w:r>
      <w:r w:rsidR="007E69CC">
        <w:rPr>
          <w:rFonts w:ascii="Times New Roman" w:hAnsi="Times New Roman" w:cs="Times New Roman"/>
          <w:sz w:val="24"/>
          <w:szCs w:val="24"/>
        </w:rPr>
        <w:t>3</w:t>
      </w:r>
      <w:r w:rsidR="002342A1">
        <w:rPr>
          <w:rFonts w:ascii="Times New Roman" w:hAnsi="Times New Roman" w:cs="Times New Roman"/>
          <w:sz w:val="24"/>
          <w:szCs w:val="24"/>
        </w:rPr>
        <w:t xml:space="preserve"> </w:t>
      </w:r>
      <w:r w:rsidR="0095044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2ABC985" w14:textId="235ED147" w:rsidR="0073647F" w:rsidRDefault="0073647F" w:rsidP="00CF5430">
      <w:pPr>
        <w:rPr>
          <w:rFonts w:ascii="Times New Roman" w:hAnsi="Times New Roman" w:cs="Times New Roman"/>
          <w:sz w:val="24"/>
          <w:szCs w:val="24"/>
        </w:rPr>
      </w:pPr>
    </w:p>
    <w:p w14:paraId="078F6218" w14:textId="22B2E945" w:rsidR="0073647F" w:rsidRDefault="0073647F" w:rsidP="00CF5430">
      <w:pPr>
        <w:rPr>
          <w:rFonts w:ascii="Times New Roman" w:hAnsi="Times New Roman" w:cs="Times New Roman"/>
          <w:sz w:val="24"/>
          <w:szCs w:val="24"/>
        </w:rPr>
      </w:pPr>
    </w:p>
    <w:p w14:paraId="44ABB889" w14:textId="0AD329A7" w:rsidR="0073647F" w:rsidRDefault="0073647F" w:rsidP="00CF5430">
      <w:pPr>
        <w:rPr>
          <w:rFonts w:ascii="Times New Roman" w:hAnsi="Times New Roman" w:cs="Times New Roman"/>
          <w:sz w:val="24"/>
          <w:szCs w:val="24"/>
        </w:rPr>
      </w:pPr>
    </w:p>
    <w:p w14:paraId="61F1A2E3" w14:textId="77777777" w:rsidR="0073647F" w:rsidRDefault="0073647F" w:rsidP="00CF5430">
      <w:pPr>
        <w:rPr>
          <w:rFonts w:ascii="Times New Roman" w:hAnsi="Times New Roman" w:cs="Times New Roman"/>
          <w:sz w:val="24"/>
          <w:szCs w:val="24"/>
        </w:rPr>
      </w:pPr>
    </w:p>
    <w:p w14:paraId="3DD53B84" w14:textId="77777777" w:rsidR="00CF5430" w:rsidRPr="00CF5430" w:rsidRDefault="00CF5430" w:rsidP="00CF543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38590F38" w14:textId="77777777" w:rsidR="00CF5430" w:rsidRPr="00CF5430" w:rsidRDefault="00CF5430" w:rsidP="00CF543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0E02D9A6" w14:textId="77777777" w:rsidR="0073647F" w:rsidRDefault="0073647F">
      <w:pPr>
        <w:rPr>
          <w:rFonts w:ascii="Times New Roman" w:hAnsi="Times New Roman" w:cs="Times New Roman"/>
          <w:sz w:val="24"/>
          <w:szCs w:val="24"/>
        </w:rPr>
        <w:sectPr w:rsidR="007364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0C81E3" w14:textId="1D060963" w:rsidR="0073647F" w:rsidRPr="0073647F" w:rsidRDefault="0073647F" w:rsidP="0073647F">
      <w:pPr>
        <w:pStyle w:val="Tytu"/>
        <w:keepNext/>
        <w:jc w:val="right"/>
        <w:rPr>
          <w:rFonts w:cs="Calibri"/>
          <w:b/>
          <w:bCs w:val="0"/>
          <w:sz w:val="20"/>
          <w:szCs w:val="20"/>
        </w:rPr>
      </w:pPr>
      <w:r w:rsidRPr="0073647F">
        <w:rPr>
          <w:rFonts w:cs="Calibri"/>
          <w:b/>
          <w:bCs w:val="0"/>
          <w:sz w:val="20"/>
          <w:szCs w:val="20"/>
        </w:rPr>
        <w:lastRenderedPageBreak/>
        <w:t>Załącznik nr 1 do Zarządzenie Nr  7 /2</w:t>
      </w:r>
      <w:r>
        <w:rPr>
          <w:rFonts w:cs="Calibri"/>
          <w:b/>
          <w:bCs w:val="0"/>
          <w:sz w:val="20"/>
          <w:szCs w:val="20"/>
        </w:rPr>
        <w:t>3</w:t>
      </w:r>
      <w:r w:rsidRPr="0073647F">
        <w:rPr>
          <w:rFonts w:cs="Calibri"/>
          <w:b/>
          <w:bCs w:val="0"/>
          <w:sz w:val="20"/>
          <w:szCs w:val="20"/>
        </w:rPr>
        <w:t xml:space="preserve"> Wójta Gminy Gorzyce z dnia 0</w:t>
      </w:r>
      <w:r>
        <w:rPr>
          <w:rFonts w:cs="Calibri"/>
          <w:b/>
          <w:bCs w:val="0"/>
          <w:sz w:val="20"/>
          <w:szCs w:val="20"/>
        </w:rPr>
        <w:t>2</w:t>
      </w:r>
      <w:r w:rsidRPr="0073647F">
        <w:rPr>
          <w:rFonts w:cs="Calibri"/>
          <w:b/>
          <w:bCs w:val="0"/>
          <w:sz w:val="20"/>
          <w:szCs w:val="20"/>
        </w:rPr>
        <w:t xml:space="preserve"> stycznia 20</w:t>
      </w:r>
      <w:r>
        <w:rPr>
          <w:rFonts w:cs="Calibri"/>
          <w:b/>
          <w:bCs w:val="0"/>
          <w:sz w:val="20"/>
          <w:szCs w:val="20"/>
        </w:rPr>
        <w:t>23</w:t>
      </w:r>
    </w:p>
    <w:p w14:paraId="273ED668" w14:textId="00EF1BDC" w:rsidR="0073647F" w:rsidRDefault="0073647F" w:rsidP="0073647F">
      <w:pPr>
        <w:pStyle w:val="Tytu"/>
        <w:keepNext/>
        <w:rPr>
          <w:b/>
          <w:bCs w:val="0"/>
          <w:sz w:val="34"/>
          <w:szCs w:val="24"/>
        </w:rPr>
      </w:pPr>
      <w:r>
        <w:rPr>
          <w:rFonts w:cs="Calibri"/>
          <w:b/>
          <w:bCs w:val="0"/>
          <w:sz w:val="34"/>
          <w:szCs w:val="24"/>
        </w:rPr>
        <w:t>Dochody i wydatki związane z realizacją zadań z zakresu administracji rządowej i innych zadań zleconych odrębnymi ustawami w 2023 roku</w:t>
      </w:r>
    </w:p>
    <w:tbl>
      <w:tblPr>
        <w:tblStyle w:val="Tabela-Prosty1"/>
        <w:tblW w:w="5000" w:type="auto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9080"/>
        <w:gridCol w:w="1204"/>
        <w:gridCol w:w="1209"/>
      </w:tblGrid>
      <w:tr w:rsidR="0073647F" w14:paraId="41370510" w14:textId="77777777" w:rsidTr="00105B23">
        <w:trPr>
          <w:tblHeader/>
          <w:jc w:val="center"/>
        </w:trPr>
        <w:tc>
          <w:tcPr>
            <w:tcW w:w="1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30B42B13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Dział</w:t>
            </w:r>
          </w:p>
        </w:tc>
        <w:tc>
          <w:tcPr>
            <w:tcW w:w="1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0AE542D6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Rozdział</w:t>
            </w:r>
          </w:p>
        </w:tc>
        <w:tc>
          <w:tcPr>
            <w:tcW w:w="1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1841B16F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Paragraf</w:t>
            </w:r>
          </w:p>
        </w:tc>
        <w:tc>
          <w:tcPr>
            <w:tcW w:w="1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2B40B0D0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P4</w:t>
            </w:r>
          </w:p>
        </w:tc>
        <w:tc>
          <w:tcPr>
            <w:tcW w:w="4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6BCBEBF5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Wyszczególnienie</w:t>
            </w:r>
          </w:p>
        </w:tc>
        <w:tc>
          <w:tcPr>
            <w:tcW w:w="1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09281263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Dotacje ogółem</w:t>
            </w:r>
          </w:p>
        </w:tc>
        <w:tc>
          <w:tcPr>
            <w:tcW w:w="1" w:type="auto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61562785" w14:textId="77777777" w:rsidR="0073647F" w:rsidRDefault="0073647F" w:rsidP="00105B23">
            <w:pPr>
              <w:pStyle w:val="TableHeading"/>
              <w:rPr>
                <w:b/>
                <w:bCs w:val="0"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bCs w:val="0"/>
                <w:color w:val="FFFFFF"/>
                <w:sz w:val="15"/>
                <w:szCs w:val="24"/>
                <w:shd w:val="clear" w:color="auto" w:fill="3C3F49"/>
              </w:rPr>
              <w:t>Wydatki ogółem</w:t>
            </w:r>
          </w:p>
        </w:tc>
      </w:tr>
      <w:tr w:rsidR="0073647F" w14:paraId="6E65FA42" w14:textId="77777777" w:rsidTr="00105B23">
        <w:trPr>
          <w:jc w:val="center"/>
        </w:trPr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76CA184B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750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4212DB26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686E1BD7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632EFB8B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C74E7AD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Administracja publiczna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4BE8AC11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101 303,00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381DE84F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101 303,00</w:t>
            </w:r>
          </w:p>
        </w:tc>
      </w:tr>
      <w:tr w:rsidR="0073647F" w14:paraId="2F4AC8AA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93EB4D4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5AC16C9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75011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5F2FAD4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58D80BE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7090B7D0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Urzędy wojewódzkie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7AE888A4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101 303,00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5CEF2F0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101 303,00</w:t>
            </w:r>
          </w:p>
        </w:tc>
      </w:tr>
      <w:tr w:rsidR="0073647F" w14:paraId="6D9EFB3B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300F5A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6DDD87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7C65FA3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04FED93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6559CF88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17B77E9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101 303,00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8B407E0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</w:tr>
      <w:tr w:rsidR="0073647F" w14:paraId="1C45E9A0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71904FE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5E12FCE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AF3E022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8EA3A3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5CC81CDB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Wynagrodzenia osobowe pracowników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407E557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DF5DDAC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84 737,95</w:t>
            </w:r>
          </w:p>
        </w:tc>
      </w:tr>
      <w:tr w:rsidR="0073647F" w14:paraId="3F2F20D1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120664F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301AD9C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26DE308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411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CAB8DF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C70F679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Składki na ubezpieczenia społeczne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4AC41F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F6BA1E8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14 490,00</w:t>
            </w:r>
          </w:p>
        </w:tc>
      </w:tr>
      <w:tr w:rsidR="0073647F" w14:paraId="3075077D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E0ABC1C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CDF2AE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87DCA9E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412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CD2DC0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050B198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Składki na Fundusz Pracy oraz Fundusz Solidarnościowy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2B9EA29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1590DD8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2 075,05</w:t>
            </w:r>
          </w:p>
        </w:tc>
      </w:tr>
      <w:tr w:rsidR="0073647F" w14:paraId="3411E344" w14:textId="77777777" w:rsidTr="00105B23">
        <w:trPr>
          <w:jc w:val="center"/>
        </w:trPr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4AD0F18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751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4E28C689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D55662A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203D1E6B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63C4BB72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D57F6AF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2 805,00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29F4B21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2 805,00</w:t>
            </w:r>
          </w:p>
        </w:tc>
      </w:tr>
      <w:tr w:rsidR="0073647F" w14:paraId="3082EDEB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D487CFA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0EF420F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75101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5C61EFB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C9F3B62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3B5DAEC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29C4BAE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2 805,00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11011AE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2 805,00</w:t>
            </w:r>
          </w:p>
        </w:tc>
      </w:tr>
      <w:tr w:rsidR="0073647F" w14:paraId="224167AE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9EE2292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FB0F87B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3395E6D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AE849F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7C6AAF25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3CE088B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2 805,00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22A77C4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</w:tr>
      <w:tr w:rsidR="0073647F" w14:paraId="2C10EAC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2335102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5B7888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CFE665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6A9A8CB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5BD57A1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Składki na ubezpieczenia społeczne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BD773D5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383A2FF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401,22</w:t>
            </w:r>
          </w:p>
        </w:tc>
      </w:tr>
      <w:tr w:rsidR="0073647F" w14:paraId="07F57C70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00B9B7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858603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17060CB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412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F3E2FC6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FBBABA7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Składki na Fundusz Pracy oraz Fundusz Solidarnościowy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DB4EEB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1370CDF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57,48</w:t>
            </w:r>
          </w:p>
        </w:tc>
      </w:tr>
      <w:tr w:rsidR="0073647F" w14:paraId="0FA97F19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FB39BB8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869C32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C716D6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417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67E5936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8315C56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Wynagrodzenia bezosobowe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8B0226A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2507D1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2 346,30</w:t>
            </w:r>
          </w:p>
        </w:tc>
      </w:tr>
      <w:tr w:rsidR="0073647F" w14:paraId="21E64820" w14:textId="77777777" w:rsidTr="00105B23">
        <w:trPr>
          <w:jc w:val="center"/>
        </w:trPr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747D8EF6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752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FE26C01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7C5626EB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0200D4B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38AABCE7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Obrona narodowa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91DCEC6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2 100,00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7924823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2 100,00</w:t>
            </w:r>
          </w:p>
        </w:tc>
      </w:tr>
      <w:tr w:rsidR="0073647F" w14:paraId="4655D74F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A69AC33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2FFD952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75212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C4112DB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77D1CE6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5CA6604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Pozostałe wydatki obronne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0B885B6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2 000,00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1EE8449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2 000,00</w:t>
            </w:r>
          </w:p>
        </w:tc>
      </w:tr>
      <w:tr w:rsidR="0073647F" w14:paraId="056806F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631D60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0ECACB4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2AA26EB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4A3E1AF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5E15C805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4A752AB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2 000,00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21B1E5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</w:tr>
      <w:tr w:rsidR="0073647F" w14:paraId="550633B2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2DFE1E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1EA799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B48714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430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52F6BB8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744361B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Zakup usług pozostałych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EDC6F7D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9AE0BC3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2 000,00</w:t>
            </w:r>
          </w:p>
        </w:tc>
      </w:tr>
      <w:tr w:rsidR="0073647F" w14:paraId="72043B11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9FA172B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A57AEDA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75224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0DBC00E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963B147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094C29E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Kwalifikacja wojskowa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5FAE85D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100,00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5B0FDC6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100,00</w:t>
            </w:r>
          </w:p>
        </w:tc>
      </w:tr>
      <w:tr w:rsidR="0073647F" w14:paraId="136445D2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75AE67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5488DF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B7C218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41F83E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5814D7F0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2ACFEE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100,00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1BBF9A0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</w:tr>
      <w:tr w:rsidR="0073647F" w14:paraId="054E5C42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D742D6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52BD266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D3377E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430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A8BEBD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64E3EB9A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Zakup usług pozostałych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6D251E2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D9C03E6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100,00</w:t>
            </w:r>
          </w:p>
        </w:tc>
      </w:tr>
      <w:tr w:rsidR="0073647F" w14:paraId="1504E770" w14:textId="77777777" w:rsidTr="00105B23">
        <w:trPr>
          <w:jc w:val="center"/>
        </w:trPr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2A361151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852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774312E2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63386CB9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6AFE288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24922F69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Pomoc społeczna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73184DF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57 430,00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61C31B8D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57 430,00</w:t>
            </w:r>
          </w:p>
        </w:tc>
      </w:tr>
      <w:tr w:rsidR="0073647F" w14:paraId="76C17C24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782F66C9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D872893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85219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52C7D79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6D65E47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8EBA309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Ośrodki pomocy społecznej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2DA508F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42 000,00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C5151F2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42 000,00</w:t>
            </w:r>
          </w:p>
        </w:tc>
      </w:tr>
      <w:tr w:rsidR="0073647F" w14:paraId="3BA6D84A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7C4590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29752CE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25081C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58F7A1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C4AE905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0DA2E8C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42 000,00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D388082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</w:tr>
      <w:tr w:rsidR="0073647F" w14:paraId="6F40B57F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AC4594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9A22D86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DB925A7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311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2E6457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6702EEB8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Świadczenia społeczne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68CED8B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781F27F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42 000,00</w:t>
            </w:r>
          </w:p>
        </w:tc>
      </w:tr>
      <w:tr w:rsidR="0073647F" w14:paraId="2B1C319D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07FAE4B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D4E2F1D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85228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B724A66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A9CDCE3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ED29BEC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0B49410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15 430,00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AA0EFCC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15 430,00</w:t>
            </w:r>
          </w:p>
        </w:tc>
      </w:tr>
      <w:tr w:rsidR="0073647F" w14:paraId="0734DE25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3A818F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2D2C022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A218A54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3C49846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18129484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BD852B0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15 430,00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4E8EF65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</w:tr>
      <w:tr w:rsidR="0073647F" w14:paraId="3907EAE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23AECDD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99D8F55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C90A0C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37581C2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DFFCC8A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Składki na ubezpieczenia społeczne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956948A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98D33C4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2 193,00</w:t>
            </w:r>
          </w:p>
        </w:tc>
      </w:tr>
      <w:tr w:rsidR="0073647F" w14:paraId="3A347A70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FCB6DC4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A3EEDD7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B3731D7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412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F7FCBB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54B5FCD2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Składki na Fundusz Pracy oraz Fundusz Solidarnościowy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4B0F4FB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3B32237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311,00</w:t>
            </w:r>
          </w:p>
        </w:tc>
      </w:tr>
      <w:tr w:rsidR="0073647F" w14:paraId="50EC1E1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A49E83E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05F45E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20A5FC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417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30A18F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56D4967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Wynagrodzenia bezosobowe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CA59D54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91801A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12 735,00</w:t>
            </w:r>
          </w:p>
        </w:tc>
      </w:tr>
      <w:tr w:rsidR="0073647F" w14:paraId="56A380E5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D4B3E7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AA8E4A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C57B633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471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BF5A7D5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A346009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Wpłaty na PPK finansowane przez podmiot zatrudniający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65501F4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638A875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191,00</w:t>
            </w:r>
          </w:p>
        </w:tc>
      </w:tr>
      <w:tr w:rsidR="0073647F" w14:paraId="125D16FE" w14:textId="77777777" w:rsidTr="00105B23">
        <w:trPr>
          <w:jc w:val="center"/>
        </w:trPr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994BCB6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E0E1E1"/>
              </w:rPr>
              <w:t>855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3A18850F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9B55C5A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DA4C29D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4CAB350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Rodzina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7F4DD954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5 943 190,00</w:t>
            </w:r>
          </w:p>
        </w:tc>
        <w:tc>
          <w:tcPr>
            <w:tcW w:w="1" w:type="pct"/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6897607A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E0E1E1"/>
              </w:rPr>
              <w:t>5 943 190,00</w:t>
            </w:r>
          </w:p>
        </w:tc>
      </w:tr>
      <w:tr w:rsidR="0073647F" w14:paraId="207E4428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847CC9E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58181AC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85502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45866C6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E6B71C0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AF7B8F4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7C7F392F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5 878 600,00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7C1CA65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5 878 600,00</w:t>
            </w:r>
          </w:p>
        </w:tc>
      </w:tr>
      <w:tr w:rsidR="0073647F" w14:paraId="56250F10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709869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37D9425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3A90CE1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76011D8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7B9959EA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51B6D07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5 878 600,00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8328BAC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</w:tr>
      <w:tr w:rsidR="0073647F" w14:paraId="3E8655E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6BFC0E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557A9C4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F18B438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302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1C6B764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5F76324C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Wydatki osobowe niezaliczone do wynagrodzeń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4746593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0699BB0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600,00</w:t>
            </w:r>
          </w:p>
        </w:tc>
      </w:tr>
      <w:tr w:rsidR="0073647F" w14:paraId="4BD830DA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29A43C7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327005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A45A5CE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311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CF6CE9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36143C4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Świadczenia społeczne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5716ACE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B1B27F2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5 241 422,00</w:t>
            </w:r>
          </w:p>
        </w:tc>
      </w:tr>
      <w:tr w:rsidR="0073647F" w14:paraId="6CCA044B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FD6EF0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39D364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1387EB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F60FC8E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6C5AC87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Wynagrodzenia osobowe pracowników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7881D3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21939C5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96 289,00</w:t>
            </w:r>
          </w:p>
        </w:tc>
      </w:tr>
      <w:tr w:rsidR="0073647F" w14:paraId="0F93FB53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D13A743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6046C1E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2B465E8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404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DB6592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7787589A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Dodatkowe wynagrodzenie roczne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E5EFC91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D0BFA74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15 000,00</w:t>
            </w:r>
          </w:p>
        </w:tc>
      </w:tr>
      <w:tr w:rsidR="0073647F" w14:paraId="3B7BAAFD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B1D680F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22DD72C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3A49703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411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C423AD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53D7068B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Składki na ubezpieczenia społeczne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B22D92F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2F2E65A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489 050,00</w:t>
            </w:r>
          </w:p>
        </w:tc>
      </w:tr>
      <w:tr w:rsidR="0073647F" w14:paraId="6D9B2145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25B90C5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DCD8C6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19096D9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412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2F7E298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ABC99F0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Składki na Fundusz Pracy oraz Fundusz Solidarnościowy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06A7949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FBBAAFA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2 750,00</w:t>
            </w:r>
          </w:p>
        </w:tc>
      </w:tr>
      <w:tr w:rsidR="0073647F" w14:paraId="6895903C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35835D8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A16A152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1379862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421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CDDE062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66F6084F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Zakup materiałów i wyposażenia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7A9B085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3E58E6C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6 000,00</w:t>
            </w:r>
          </w:p>
        </w:tc>
      </w:tr>
      <w:tr w:rsidR="0073647F" w14:paraId="351D1B68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CCB472E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D769371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90326D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426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8F53F26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3846E20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Zakup energii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A816286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0AD5831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8 000,00</w:t>
            </w:r>
          </w:p>
        </w:tc>
      </w:tr>
      <w:tr w:rsidR="0073647F" w14:paraId="3ED775B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8B122D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E91BB6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7CFA547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427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40471A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988095A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Zakup usług remontowych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2DB8FB2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C247CE1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1 000,00</w:t>
            </w:r>
          </w:p>
        </w:tc>
      </w:tr>
      <w:tr w:rsidR="0073647F" w14:paraId="3C6674F7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ACBCD3D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78D7C3F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9E443B1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428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505D01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B0CE6B0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Zakup usług zdrowotnych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FAA9BC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34E42D4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500,00</w:t>
            </w:r>
          </w:p>
        </w:tc>
      </w:tr>
      <w:tr w:rsidR="0073647F" w14:paraId="157B8C84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1A1F92E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DE11E3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0503EC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430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1843CD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91DFB70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Zakup usług pozostałych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E43C58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FE0E6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5 000,00</w:t>
            </w:r>
          </w:p>
        </w:tc>
      </w:tr>
      <w:tr w:rsidR="0073647F" w14:paraId="20218AD3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FCA6A8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365E7A7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774E25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436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A1CC475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2CA97899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Opłaty z tytułu zakupu usług telekomunikacyjnych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C8452FB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B70595F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1 300,00</w:t>
            </w:r>
          </w:p>
        </w:tc>
      </w:tr>
      <w:tr w:rsidR="0073647F" w14:paraId="45EA1649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1D77720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201E27E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D5AA36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441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93BD05C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6B52267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Podróże służbowe krajowe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DF5A01D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30C3215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1 000,00</w:t>
            </w:r>
          </w:p>
        </w:tc>
      </w:tr>
      <w:tr w:rsidR="0073647F" w14:paraId="6BAB206E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065D36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D6AD016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5BD970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444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558133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EE5910D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Odpisy na zakładowy fundusz świadczeń socjalnych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7FA6D92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D4A6FAD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4 989,00</w:t>
            </w:r>
          </w:p>
        </w:tc>
      </w:tr>
      <w:tr w:rsidR="0073647F" w14:paraId="512B35EA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F07FAF9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033E239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17A6E4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458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0E5CE98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B338285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Pozostałe odsetki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2231856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76963EC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1 000,00</w:t>
            </w:r>
          </w:p>
        </w:tc>
      </w:tr>
      <w:tr w:rsidR="0073647F" w14:paraId="2E121516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1C04268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7C02E94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2C7B059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461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31C502E0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6E0C1C38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Koszty postępowania sądowego i prokuratorskiego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1A3902B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ADEBD54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1 000,00</w:t>
            </w:r>
          </w:p>
        </w:tc>
      </w:tr>
      <w:tr w:rsidR="0073647F" w14:paraId="0A49826E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6BFB11B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2FA108F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E59F6D2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470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C5EAAF5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6D17397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C4C21A0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FB2D2AF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2 000,00</w:t>
            </w:r>
          </w:p>
        </w:tc>
      </w:tr>
      <w:tr w:rsidR="0073647F" w14:paraId="6B2D1123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411D7D5E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35F5CF6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C7E0CBB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471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ABB20BA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67E33B49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Wpłaty na PPK finansowane przez podmiot zatrudniający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36656CF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81CFD44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1 700,00</w:t>
            </w:r>
          </w:p>
        </w:tc>
      </w:tr>
      <w:tr w:rsidR="0073647F" w14:paraId="558B8923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AF75A16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E47C6E6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85503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2A63547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D56C8D3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5630CF0" w14:textId="77777777" w:rsidR="0073647F" w:rsidRDefault="0073647F" w:rsidP="00105B23">
            <w:pPr>
              <w:pStyle w:val="TableCell"/>
              <w:jc w:val="left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Karta Dużej Rodziny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3F41533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290,00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5DE2058" w14:textId="77777777" w:rsidR="0073647F" w:rsidRDefault="0073647F" w:rsidP="00105B23">
            <w:pPr>
              <w:pStyle w:val="TableCell"/>
              <w:rPr>
                <w:rFonts w:cs="Calibri"/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  <w:shd w:val="clear" w:color="auto" w:fill="F2F3F3"/>
              </w:rPr>
              <w:t>290,00</w:t>
            </w:r>
          </w:p>
        </w:tc>
      </w:tr>
      <w:tr w:rsidR="0073647F" w14:paraId="2DE6D7C2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518F44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95F5B13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A35AC3D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81D6CCF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4BE43A6F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DA28A1F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290,00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F9979EA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</w:tr>
      <w:tr w:rsidR="0073647F" w14:paraId="47E98583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BEFE779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D8FD71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23A4CF0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421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1A68201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1BD65302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Zakup materiałów i wyposażenia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83B23E9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FDD4D40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290,00</w:t>
            </w:r>
          </w:p>
        </w:tc>
      </w:tr>
      <w:tr w:rsidR="0073647F" w14:paraId="19296EE6" w14:textId="77777777" w:rsidTr="00105B23">
        <w:trPr>
          <w:jc w:val="center"/>
        </w:trPr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4B3D6B1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24037EA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85513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4ADF043" w14:textId="77777777" w:rsidR="0073647F" w:rsidRDefault="0073647F" w:rsidP="00105B23">
            <w:pPr>
              <w:pStyle w:val="TableCell"/>
              <w:jc w:val="center"/>
              <w:rPr>
                <w:rFonts w:cs="Calibri"/>
                <w:b/>
                <w:sz w:val="15"/>
                <w:szCs w:val="24"/>
              </w:rPr>
            </w:pP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FE71587" w14:textId="77777777" w:rsidR="0073647F" w:rsidRDefault="0073647F" w:rsidP="00105B23">
            <w:pPr>
              <w:pStyle w:val="TableCell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4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F31B80E" w14:textId="77777777" w:rsidR="0073647F" w:rsidRDefault="0073647F" w:rsidP="00105B23">
            <w:pPr>
              <w:pStyle w:val="TableCell"/>
              <w:jc w:val="left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16ECD06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64 300,00</w:t>
            </w:r>
          </w:p>
        </w:tc>
        <w:tc>
          <w:tcPr>
            <w:tcW w:w="1" w:type="pct"/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2BC3426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  <w:shd w:val="clear" w:color="auto" w:fill="F2F3F3"/>
              </w:rPr>
              <w:t>64 300,00</w:t>
            </w:r>
          </w:p>
        </w:tc>
      </w:tr>
      <w:tr w:rsidR="0073647F" w14:paraId="0F09395E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5901FE8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524E384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3392FCB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201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53EB6DB7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9DCDFB3" w14:textId="77777777" w:rsidR="0073647F" w:rsidRDefault="0073647F" w:rsidP="00105B23">
            <w:pPr>
              <w:pStyle w:val="TableCell"/>
              <w:jc w:val="left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797E7DD0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64 300,00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04AD7FB7" w14:textId="77777777" w:rsidR="0073647F" w:rsidRDefault="0073647F" w:rsidP="00105B23">
            <w:pPr>
              <w:pStyle w:val="TableCell"/>
              <w:rPr>
                <w:rFonts w:cs="Calibri"/>
                <w:sz w:val="15"/>
                <w:szCs w:val="24"/>
              </w:rPr>
            </w:pPr>
          </w:p>
        </w:tc>
      </w:tr>
      <w:tr w:rsidR="0073647F" w14:paraId="3F7CF54B" w14:textId="77777777" w:rsidTr="00105B23">
        <w:trPr>
          <w:jc w:val="center"/>
        </w:trPr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FEA933A" w14:textId="77777777" w:rsidR="0073647F" w:rsidRDefault="0073647F" w:rsidP="00105B23">
            <w:pPr>
              <w:pStyle w:val="TableCell"/>
              <w:jc w:val="center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151F0E3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6371D881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413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18BBC5C" w14:textId="77777777" w:rsidR="0073647F" w:rsidRDefault="0073647F" w:rsidP="00105B23">
            <w:pPr>
              <w:pStyle w:val="TableCell"/>
              <w:jc w:val="center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0</w:t>
            </w:r>
          </w:p>
        </w:tc>
        <w:tc>
          <w:tcPr>
            <w:tcW w:w="4" w:type="pct"/>
            <w:tcMar>
              <w:left w:w="108" w:type="dxa"/>
              <w:right w:w="108" w:type="dxa"/>
            </w:tcMar>
            <w:vAlign w:val="center"/>
          </w:tcPr>
          <w:p w14:paraId="08C5D3B1" w14:textId="77777777" w:rsidR="0073647F" w:rsidRDefault="0073647F" w:rsidP="00105B23">
            <w:pPr>
              <w:pStyle w:val="TableCell"/>
              <w:jc w:val="left"/>
              <w:rPr>
                <w:rFonts w:cs="Calibri"/>
                <w:sz w:val="15"/>
                <w:szCs w:val="24"/>
              </w:rPr>
            </w:pPr>
            <w:r>
              <w:rPr>
                <w:sz w:val="15"/>
                <w:szCs w:val="24"/>
              </w:rPr>
              <w:t>Składki na ubezpieczenie zdrowotne</w:t>
            </w: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856DE9B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</w:p>
        </w:tc>
        <w:tc>
          <w:tcPr>
            <w:tcW w:w="1" w:type="pct"/>
            <w:tcMar>
              <w:left w:w="108" w:type="dxa"/>
              <w:right w:w="108" w:type="dxa"/>
            </w:tcMar>
            <w:vAlign w:val="center"/>
          </w:tcPr>
          <w:p w14:paraId="27A6A7B8" w14:textId="77777777" w:rsidR="0073647F" w:rsidRDefault="0073647F" w:rsidP="00105B23">
            <w:pPr>
              <w:pStyle w:val="TableCell"/>
              <w:rPr>
                <w:sz w:val="15"/>
                <w:szCs w:val="24"/>
              </w:rPr>
            </w:pPr>
            <w:r>
              <w:rPr>
                <w:rFonts w:cs="Calibri"/>
                <w:sz w:val="15"/>
                <w:szCs w:val="24"/>
              </w:rPr>
              <w:t>64 300,00</w:t>
            </w:r>
          </w:p>
        </w:tc>
      </w:tr>
      <w:tr w:rsidR="0073647F" w14:paraId="1CF9E734" w14:textId="77777777" w:rsidTr="00105B23">
        <w:trPr>
          <w:jc w:val="center"/>
        </w:trPr>
        <w:tc>
          <w:tcPr>
            <w:tcW w:w="3485" w:type="pct"/>
            <w:gridSpan w:val="5"/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37DB019C" w14:textId="77777777" w:rsidR="0073647F" w:rsidRDefault="0073647F" w:rsidP="00105B23">
            <w:pPr>
              <w:pStyle w:val="TableCell"/>
              <w:rPr>
                <w:b/>
                <w:color w:val="FFFFFF"/>
                <w:sz w:val="15"/>
                <w:szCs w:val="24"/>
              </w:rPr>
            </w:pPr>
            <w:r>
              <w:rPr>
                <w:rFonts w:cs="Calibri"/>
                <w:b/>
                <w:color w:val="FFFFFF"/>
                <w:sz w:val="15"/>
                <w:szCs w:val="24"/>
                <w:shd w:val="clear" w:color="auto" w:fill="3C3F49"/>
              </w:rPr>
              <w:t>Razem</w:t>
            </w:r>
          </w:p>
        </w:tc>
        <w:tc>
          <w:tcPr>
            <w:tcW w:w="714" w:type="pct"/>
            <w:tcMar>
              <w:left w:w="108" w:type="dxa"/>
              <w:right w:w="108" w:type="dxa"/>
            </w:tcMar>
            <w:vAlign w:val="center"/>
          </w:tcPr>
          <w:p w14:paraId="67D97C76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</w:rPr>
              <w:t>6 106 828,00</w:t>
            </w:r>
          </w:p>
        </w:tc>
        <w:tc>
          <w:tcPr>
            <w:tcW w:w="716" w:type="pct"/>
            <w:tcMar>
              <w:left w:w="108" w:type="dxa"/>
              <w:right w:w="108" w:type="dxa"/>
            </w:tcMar>
            <w:vAlign w:val="center"/>
          </w:tcPr>
          <w:p w14:paraId="1D889CF3" w14:textId="77777777" w:rsidR="0073647F" w:rsidRDefault="0073647F" w:rsidP="00105B23">
            <w:pPr>
              <w:pStyle w:val="TableCell"/>
              <w:rPr>
                <w:b/>
                <w:sz w:val="15"/>
                <w:szCs w:val="24"/>
              </w:rPr>
            </w:pPr>
            <w:r>
              <w:rPr>
                <w:rFonts w:cs="Calibri"/>
                <w:b/>
                <w:sz w:val="15"/>
                <w:szCs w:val="24"/>
              </w:rPr>
              <w:t>6 106 828,00</w:t>
            </w:r>
          </w:p>
        </w:tc>
      </w:tr>
    </w:tbl>
    <w:p w14:paraId="4BA9B022" w14:textId="5344C0EE" w:rsidR="00BA2ED9" w:rsidRDefault="00BA2ED9">
      <w:pPr>
        <w:rPr>
          <w:rFonts w:ascii="Times New Roman" w:hAnsi="Times New Roman" w:cs="Times New Roman"/>
          <w:sz w:val="24"/>
          <w:szCs w:val="24"/>
        </w:rPr>
      </w:pPr>
    </w:p>
    <w:p w14:paraId="0FAA3FA8" w14:textId="1158D7AA" w:rsidR="0073647F" w:rsidRDefault="0073647F">
      <w:pPr>
        <w:rPr>
          <w:rFonts w:ascii="Times New Roman" w:hAnsi="Times New Roman" w:cs="Times New Roman"/>
          <w:sz w:val="24"/>
          <w:szCs w:val="24"/>
        </w:rPr>
      </w:pPr>
    </w:p>
    <w:p w14:paraId="1856611D" w14:textId="44D84C88" w:rsidR="0073647F" w:rsidRDefault="0073647F">
      <w:pPr>
        <w:rPr>
          <w:rFonts w:ascii="Times New Roman" w:hAnsi="Times New Roman" w:cs="Times New Roman"/>
          <w:sz w:val="24"/>
          <w:szCs w:val="24"/>
        </w:rPr>
      </w:pPr>
    </w:p>
    <w:p w14:paraId="5C305F32" w14:textId="77777777" w:rsidR="00B86EBB" w:rsidRDefault="00B86EBB">
      <w:pPr>
        <w:rPr>
          <w:rFonts w:ascii="Times New Roman" w:hAnsi="Times New Roman" w:cs="Times New Roman"/>
          <w:sz w:val="24"/>
          <w:szCs w:val="24"/>
        </w:rPr>
        <w:sectPr w:rsidR="00B86EBB" w:rsidSect="007364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FCE3AF" w14:textId="58B78817" w:rsidR="0073647F" w:rsidRDefault="00736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40"/>
        <w:gridCol w:w="1140"/>
        <w:gridCol w:w="4774"/>
        <w:gridCol w:w="1280"/>
        <w:gridCol w:w="160"/>
        <w:gridCol w:w="206"/>
      </w:tblGrid>
      <w:tr w:rsidR="00F909F9" w:rsidRPr="00C627D1" w14:paraId="11C4D1A6" w14:textId="77777777" w:rsidTr="00302E4F">
        <w:trPr>
          <w:gridAfter w:val="1"/>
          <w:wAfter w:w="206" w:type="dxa"/>
          <w:trHeight w:val="342"/>
        </w:trPr>
        <w:tc>
          <w:tcPr>
            <w:tcW w:w="9094" w:type="dxa"/>
            <w:gridSpan w:val="5"/>
            <w:shd w:val="clear" w:color="000000" w:fill="FFFFFF"/>
            <w:vAlign w:val="center"/>
            <w:hideMark/>
          </w:tcPr>
          <w:p w14:paraId="0ACF3AF9" w14:textId="77777777" w:rsidR="00302E4F" w:rsidRPr="009947EB" w:rsidRDefault="00F909F9" w:rsidP="0030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2</w:t>
            </w:r>
          </w:p>
          <w:p w14:paraId="2B510C9B" w14:textId="77777777" w:rsidR="00302E4F" w:rsidRPr="009947EB" w:rsidRDefault="00F909F9" w:rsidP="0030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Zarządzenia nr 7 /23 Wójta Gminy Gorzyce</w:t>
            </w:r>
          </w:p>
          <w:p w14:paraId="12863183" w14:textId="57F822F8" w:rsidR="00F909F9" w:rsidRPr="009947EB" w:rsidRDefault="00F909F9" w:rsidP="0030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0</w:t>
            </w:r>
            <w:r w:rsidR="009947EB" w:rsidRPr="0099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99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stycznia 2022 roku</w:t>
            </w:r>
          </w:p>
          <w:p w14:paraId="6ED61945" w14:textId="77777777" w:rsidR="000E522F" w:rsidRDefault="000E522F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44BBDB" w14:textId="681E4965" w:rsidR="000E522F" w:rsidRPr="009947EB" w:rsidRDefault="00302E4F" w:rsidP="0099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9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Dochody związane z realizacją przez gminy zadań z zakresu administracji rządowej</w:t>
            </w:r>
          </w:p>
          <w:p w14:paraId="0821B3C6" w14:textId="26944C6D" w:rsidR="000E522F" w:rsidRPr="00C627D1" w:rsidRDefault="000E522F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FFA5613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F9" w:rsidRPr="00C627D1" w14:paraId="3ECE2F6E" w14:textId="77777777" w:rsidTr="00302E4F">
        <w:trPr>
          <w:trHeight w:val="109"/>
        </w:trPr>
        <w:tc>
          <w:tcPr>
            <w:tcW w:w="94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05E" w14:textId="77777777" w:rsidR="00F909F9" w:rsidRPr="00C627D1" w:rsidRDefault="00F909F9" w:rsidP="0010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F9" w:rsidRPr="00C627D1" w14:paraId="3A1F0BF0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5B2B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29AE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E6BA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AB3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3C0E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58E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F9" w:rsidRPr="00C627D1" w14:paraId="4025AB1B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19B9B2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F5D4C0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EFC9F3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236764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422153" w14:textId="2DD8E5F7" w:rsidR="00F909F9" w:rsidRPr="00C627D1" w:rsidRDefault="007B5A2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1 060,00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743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46FD7158" w14:textId="77777777" w:rsidTr="00302E4F">
        <w:trPr>
          <w:gridAfter w:val="1"/>
          <w:wAfter w:w="206" w:type="dxa"/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F345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317E4F72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A96CA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237AB75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B98CCE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5BAADA" w14:textId="0B7B38E4" w:rsidR="00F909F9" w:rsidRPr="00C627D1" w:rsidRDefault="007B5A2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1 060,00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5C3D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2308B25A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0700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5028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0178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4B02" w14:textId="08BC8FDC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</w:t>
            </w:r>
            <w:r w:rsidR="007B5A2B"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różnych</w:t>
            </w: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opłat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7393" w14:textId="4EC95324" w:rsidR="00F909F9" w:rsidRPr="00C627D1" w:rsidRDefault="007B5A2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1 060,00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C52B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3C8F7831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AEF539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024CF9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4FA7F3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EAF7A9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2BD4E7" w14:textId="272DDFAC" w:rsidR="00F909F9" w:rsidRPr="00C627D1" w:rsidRDefault="007B5A2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8D6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6DF6CBDC" w14:textId="77777777" w:rsidTr="00302E4F">
        <w:trPr>
          <w:gridAfter w:val="1"/>
          <w:wAfter w:w="206" w:type="dxa"/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D075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7203FE7B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4696B1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50FCE42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A68782B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D6DA52" w14:textId="0CF9BEBA" w:rsidR="00F909F9" w:rsidRPr="00C627D1" w:rsidRDefault="007B5A2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751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30B8891B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A42B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92A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0E67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5FB5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 usług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77DF" w14:textId="7D933CBE" w:rsidR="00F909F9" w:rsidRPr="00C627D1" w:rsidRDefault="007B5A2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8D0A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452018F2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70ADCC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C82E8C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AE769E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09695C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1BBFB7" w14:textId="1DB24C93" w:rsidR="00F909F9" w:rsidRPr="00C627D1" w:rsidRDefault="00B86EB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176 200,00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2C1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35EFD793" w14:textId="77777777" w:rsidTr="00302E4F">
        <w:trPr>
          <w:gridAfter w:val="1"/>
          <w:wAfter w:w="206" w:type="dxa"/>
          <w:trHeight w:val="9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C5CA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23D5DA55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5E25C3C5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69D4550D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CFB090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7B539CF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77AE90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70A786" w14:textId="0FF517BC" w:rsidR="00F909F9" w:rsidRPr="00C627D1" w:rsidRDefault="00B86EBB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176 200,00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805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909F9" w:rsidRPr="00C627D1" w14:paraId="7413033E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017C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DF24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71AC53E6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7B1B8714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F317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97B2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pozostałych odsetek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2F14" w14:textId="31B22050" w:rsidR="00F909F9" w:rsidRPr="00C627D1" w:rsidRDefault="00302E4F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105 700,00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A92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F909F9" w:rsidRPr="00C627D1" w14:paraId="6A153948" w14:textId="77777777" w:rsidTr="00302E4F">
        <w:trPr>
          <w:gridAfter w:val="1"/>
          <w:wAfter w:w="206" w:type="dxa"/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4ED9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8EE9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D55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EB08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3CD7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  <w:r w:rsidRPr="00C627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104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F909F9" w:rsidRPr="00C627D1" w14:paraId="6DCE67C3" w14:textId="77777777" w:rsidTr="00302E4F">
        <w:trPr>
          <w:gridAfter w:val="1"/>
          <w:wAfter w:w="206" w:type="dxa"/>
          <w:trHeight w:val="45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6F79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5982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C74A" w14:textId="77777777" w:rsidR="00F909F9" w:rsidRPr="00C627D1" w:rsidRDefault="00F909F9" w:rsidP="0010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0980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2D7D" w14:textId="77777777" w:rsidR="00F909F9" w:rsidRPr="00C627D1" w:rsidRDefault="00F909F9" w:rsidP="00105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tytułu zwrotów wypłacanych świadczeń z funduszu alimentacyjnego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D273" w14:textId="082DCC04" w:rsidR="00F909F9" w:rsidRPr="00C627D1" w:rsidRDefault="00302E4F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</w:t>
            </w:r>
            <w:r w:rsidR="009947E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00</w:t>
            </w: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EE8" w14:textId="77777777" w:rsidR="00F909F9" w:rsidRPr="00C627D1" w:rsidRDefault="00F909F9" w:rsidP="0010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</w:tbl>
    <w:p w14:paraId="13ECBA31" w14:textId="77777777" w:rsidR="0073647F" w:rsidRPr="00CF5430" w:rsidRDefault="0073647F">
      <w:pPr>
        <w:rPr>
          <w:rFonts w:ascii="Times New Roman" w:hAnsi="Times New Roman" w:cs="Times New Roman"/>
          <w:sz w:val="24"/>
          <w:szCs w:val="24"/>
        </w:rPr>
      </w:pPr>
    </w:p>
    <w:p w14:paraId="47D6EB8E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sectPr w:rsidR="00BA2ED9" w:rsidRPr="00CF5430" w:rsidSect="00B86E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71A1"/>
    <w:multiLevelType w:val="hybridMultilevel"/>
    <w:tmpl w:val="4A922D70"/>
    <w:lvl w:ilvl="0" w:tplc="BA0E49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67969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D9"/>
    <w:rsid w:val="000C69F1"/>
    <w:rsid w:val="000E522F"/>
    <w:rsid w:val="002176D4"/>
    <w:rsid w:val="002342A1"/>
    <w:rsid w:val="00296A94"/>
    <w:rsid w:val="002C1EC0"/>
    <w:rsid w:val="00302E4F"/>
    <w:rsid w:val="00472BB3"/>
    <w:rsid w:val="004C3965"/>
    <w:rsid w:val="0073647F"/>
    <w:rsid w:val="007B5A2B"/>
    <w:rsid w:val="007C5474"/>
    <w:rsid w:val="007E69CC"/>
    <w:rsid w:val="0095044C"/>
    <w:rsid w:val="009947EB"/>
    <w:rsid w:val="00B42B90"/>
    <w:rsid w:val="00B86EBB"/>
    <w:rsid w:val="00BA2ED9"/>
    <w:rsid w:val="00C616E5"/>
    <w:rsid w:val="00CF5430"/>
    <w:rsid w:val="00E55F36"/>
    <w:rsid w:val="00EB28C9"/>
    <w:rsid w:val="00EF3611"/>
    <w:rsid w:val="00F1755F"/>
    <w:rsid w:val="00F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6AD"/>
  <w15:chartTrackingRefBased/>
  <w15:docId w15:val="{AC86237F-81D4-4D59-97D0-DE2EFF69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C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3647F"/>
    <w:pPr>
      <w:widowControl w:val="0"/>
      <w:autoSpaceDE w:val="0"/>
      <w:autoSpaceDN w:val="0"/>
      <w:adjustRightInd w:val="0"/>
      <w:spacing w:before="160" w:after="320" w:line="276" w:lineRule="auto"/>
      <w:jc w:val="center"/>
    </w:pPr>
    <w:rPr>
      <w:rFonts w:ascii="Times New Roman" w:eastAsiaTheme="minorEastAsia" w:hAnsi="Times New Roman" w:cs="Times New Roman"/>
      <w:bCs/>
      <w:sz w:val="2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3647F"/>
    <w:rPr>
      <w:rFonts w:ascii="Times New Roman" w:eastAsiaTheme="minorEastAsia" w:hAnsi="Times New Roman" w:cs="Times New Roman"/>
      <w:bCs/>
      <w:sz w:val="24"/>
      <w:szCs w:val="34"/>
      <w:lang w:eastAsia="pl-PL"/>
    </w:rPr>
  </w:style>
  <w:style w:type="paragraph" w:customStyle="1" w:styleId="TableHeading">
    <w:name w:val="TableHeading"/>
    <w:basedOn w:val="Normalny"/>
    <w:uiPriority w:val="99"/>
    <w:rsid w:val="0073647F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Theme="minorEastAsia" w:hAnsi="Times New Roman" w:cs="Times New Roman"/>
      <w:bCs/>
      <w:sz w:val="24"/>
      <w:szCs w:val="15"/>
      <w:lang w:eastAsia="pl-PL"/>
    </w:rPr>
  </w:style>
  <w:style w:type="paragraph" w:customStyle="1" w:styleId="TableCell">
    <w:name w:val="TableCell"/>
    <w:basedOn w:val="Normalny"/>
    <w:uiPriority w:val="99"/>
    <w:rsid w:val="0073647F"/>
    <w:pPr>
      <w:widowControl w:val="0"/>
      <w:autoSpaceDE w:val="0"/>
      <w:autoSpaceDN w:val="0"/>
      <w:adjustRightInd w:val="0"/>
      <w:spacing w:after="0" w:line="276" w:lineRule="auto"/>
      <w:jc w:val="right"/>
    </w:pPr>
    <w:rPr>
      <w:rFonts w:ascii="Times New Roman" w:eastAsiaTheme="minorEastAsia" w:hAnsi="Times New Roman" w:cs="Times New Roman"/>
      <w:sz w:val="24"/>
      <w:szCs w:val="15"/>
      <w:lang w:eastAsia="pl-PL"/>
    </w:rPr>
  </w:style>
  <w:style w:type="table" w:styleId="Tabela-Prosty1">
    <w:name w:val="Table Simple 1"/>
    <w:basedOn w:val="Standardowy"/>
    <w:uiPriority w:val="99"/>
    <w:rsid w:val="007364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2023-01-05T07:03:00Z</cp:lastPrinted>
  <dcterms:created xsi:type="dcterms:W3CDTF">2023-03-31T11:43:00Z</dcterms:created>
  <dcterms:modified xsi:type="dcterms:W3CDTF">2023-03-31T11:43:00Z</dcterms:modified>
</cp:coreProperties>
</file>